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CD9A36" w14:textId="77777777" w:rsidR="000B7D1E" w:rsidRPr="000B7D1E" w:rsidRDefault="000B7D1E" w:rsidP="000B7D1E">
      <w:pPr>
        <w:rPr>
          <w:rFonts w:ascii="Times New Roman" w:eastAsia="Times New Roman" w:hAnsi="Times New Roman" w:cs="Times New Roman"/>
          <w:sz w:val="24"/>
          <w:szCs w:val="24"/>
        </w:rPr>
      </w:pPr>
      <w:r w:rsidRPr="000B7D1E">
        <w:rPr>
          <w:rFonts w:ascii="Arial" w:eastAsia="Times New Roman" w:hAnsi="Arial" w:cs="Arial"/>
          <w:color w:val="000000"/>
          <w:sz w:val="32"/>
          <w:szCs w:val="32"/>
        </w:rPr>
        <w:t>Advisory Committee on Equity, Diversity, Inclusion, Belonging, and Accessibility (EDIBA)</w:t>
      </w:r>
    </w:p>
    <w:p w14:paraId="64A1E0E8" w14:textId="77777777" w:rsidR="000B7D1E" w:rsidRPr="000B7D1E" w:rsidRDefault="000B7D1E" w:rsidP="000B7D1E">
      <w:pPr>
        <w:rPr>
          <w:rFonts w:ascii="Times New Roman" w:eastAsia="Times New Roman" w:hAnsi="Times New Roman" w:cs="Times New Roman"/>
          <w:sz w:val="24"/>
          <w:szCs w:val="24"/>
        </w:rPr>
      </w:pPr>
      <w:r w:rsidRPr="000B7D1E">
        <w:rPr>
          <w:rFonts w:ascii="Arial" w:eastAsia="Times New Roman" w:hAnsi="Arial" w:cs="Arial"/>
          <w:color w:val="000000"/>
          <w:sz w:val="32"/>
          <w:szCs w:val="32"/>
        </w:rPr>
        <w:t>2025-2026 Work Plan</w:t>
      </w:r>
    </w:p>
    <w:p w14:paraId="313E1593" w14:textId="77777777" w:rsidR="000B7D1E" w:rsidRPr="000B7D1E" w:rsidRDefault="000B7D1E" w:rsidP="000B7D1E">
      <w:pPr>
        <w:rPr>
          <w:rFonts w:ascii="Times New Roman" w:eastAsia="Times New Roman" w:hAnsi="Times New Roman" w:cs="Times New Roman"/>
          <w:sz w:val="24"/>
          <w:szCs w:val="24"/>
        </w:rPr>
      </w:pPr>
      <w:r w:rsidRPr="000B7D1E">
        <w:rPr>
          <w:rFonts w:ascii="Arial" w:eastAsia="Times New Roman" w:hAnsi="Arial" w:cs="Arial"/>
          <w:color w:val="000000"/>
          <w:sz w:val="20"/>
          <w:szCs w:val="20"/>
        </w:rPr>
        <w:t>Submitted: March 31, 2025</w:t>
      </w:r>
    </w:p>
    <w:p w14:paraId="35CE7475" w14:textId="77777777" w:rsidR="000B7D1E" w:rsidRPr="000B7D1E" w:rsidRDefault="000B7D1E" w:rsidP="000B7D1E">
      <w:pPr>
        <w:rPr>
          <w:rFonts w:ascii="Times New Roman" w:eastAsia="Times New Roman" w:hAnsi="Times New Roman" w:cs="Times New Roman"/>
          <w:sz w:val="24"/>
          <w:szCs w:val="24"/>
        </w:rPr>
      </w:pPr>
    </w:p>
    <w:p w14:paraId="4C566DFE" w14:textId="77777777" w:rsidR="000B7D1E" w:rsidRPr="000B7D1E" w:rsidRDefault="000B7D1E" w:rsidP="000B7D1E">
      <w:pPr>
        <w:rPr>
          <w:rFonts w:ascii="Times New Roman" w:eastAsia="Times New Roman" w:hAnsi="Times New Roman" w:cs="Times New Roman"/>
          <w:sz w:val="24"/>
          <w:szCs w:val="24"/>
        </w:rPr>
      </w:pPr>
      <w:r w:rsidRPr="000B7D1E">
        <w:rPr>
          <w:rFonts w:ascii="Arial" w:eastAsia="Times New Roman" w:hAnsi="Arial" w:cs="Arial"/>
          <w:b/>
          <w:bCs/>
          <w:color w:val="000000"/>
          <w:sz w:val="20"/>
          <w:szCs w:val="20"/>
        </w:rPr>
        <w:t>Members</w:t>
      </w:r>
    </w:p>
    <w:p w14:paraId="2AC679AC" w14:textId="77777777" w:rsidR="000B7D1E" w:rsidRPr="000B7D1E" w:rsidRDefault="000B7D1E" w:rsidP="000B7D1E">
      <w:pPr>
        <w:rPr>
          <w:rFonts w:ascii="Times New Roman" w:eastAsia="Times New Roman" w:hAnsi="Times New Roman" w:cs="Times New Roman"/>
          <w:sz w:val="24"/>
          <w:szCs w:val="24"/>
        </w:rPr>
      </w:pPr>
      <w:r w:rsidRPr="000B7D1E">
        <w:rPr>
          <w:rFonts w:ascii="Times New Roman" w:eastAsia="Times New Roman" w:hAnsi="Times New Roman" w:cs="Times New Roman"/>
          <w:sz w:val="24"/>
          <w:szCs w:val="24"/>
        </w:rPr>
        <w:br/>
      </w:r>
    </w:p>
    <w:p w14:paraId="1B369181" w14:textId="77777777" w:rsidR="000B7D1E" w:rsidRPr="000B7D1E" w:rsidRDefault="000B7D1E" w:rsidP="000B7D1E">
      <w:pPr>
        <w:numPr>
          <w:ilvl w:val="0"/>
          <w:numId w:val="1"/>
        </w:numPr>
        <w:textAlignment w:val="baseline"/>
        <w:rPr>
          <w:rFonts w:ascii="Arial" w:eastAsia="Times New Roman" w:hAnsi="Arial" w:cs="Arial"/>
          <w:color w:val="000000"/>
          <w:sz w:val="20"/>
          <w:szCs w:val="20"/>
        </w:rPr>
      </w:pPr>
      <w:r w:rsidRPr="000B7D1E">
        <w:rPr>
          <w:rFonts w:ascii="Arial" w:eastAsia="Times New Roman" w:hAnsi="Arial" w:cs="Arial"/>
          <w:color w:val="000000"/>
          <w:sz w:val="20"/>
          <w:szCs w:val="20"/>
        </w:rPr>
        <w:t>Keno Catabay (University of Colorado Boulder)</w:t>
      </w:r>
    </w:p>
    <w:p w14:paraId="1778C96C" w14:textId="77777777" w:rsidR="000B7D1E" w:rsidRPr="000B7D1E" w:rsidRDefault="000B7D1E" w:rsidP="000B7D1E">
      <w:pPr>
        <w:numPr>
          <w:ilvl w:val="0"/>
          <w:numId w:val="1"/>
        </w:numPr>
        <w:textAlignment w:val="baseline"/>
        <w:rPr>
          <w:rFonts w:ascii="Arial" w:eastAsia="Times New Roman" w:hAnsi="Arial" w:cs="Arial"/>
          <w:color w:val="000000"/>
          <w:sz w:val="20"/>
          <w:szCs w:val="20"/>
        </w:rPr>
      </w:pPr>
      <w:r w:rsidRPr="000B7D1E">
        <w:rPr>
          <w:rFonts w:ascii="Arial" w:eastAsia="Times New Roman" w:hAnsi="Arial" w:cs="Arial"/>
          <w:color w:val="000000"/>
          <w:sz w:val="20"/>
          <w:szCs w:val="20"/>
        </w:rPr>
        <w:t>Violet Fox (Northwestern University)</w:t>
      </w:r>
    </w:p>
    <w:p w14:paraId="0FD3F99F" w14:textId="77777777" w:rsidR="000B7D1E" w:rsidRPr="000B7D1E" w:rsidRDefault="000B7D1E" w:rsidP="000B7D1E">
      <w:pPr>
        <w:numPr>
          <w:ilvl w:val="0"/>
          <w:numId w:val="1"/>
        </w:numPr>
        <w:textAlignment w:val="baseline"/>
        <w:rPr>
          <w:rFonts w:ascii="Arial" w:eastAsia="Times New Roman" w:hAnsi="Arial" w:cs="Arial"/>
          <w:color w:val="000000"/>
          <w:sz w:val="20"/>
          <w:szCs w:val="20"/>
        </w:rPr>
      </w:pPr>
      <w:r w:rsidRPr="000B7D1E">
        <w:rPr>
          <w:rFonts w:ascii="Arial" w:eastAsia="Times New Roman" w:hAnsi="Arial" w:cs="Arial"/>
          <w:color w:val="000000"/>
          <w:sz w:val="20"/>
          <w:szCs w:val="20"/>
        </w:rPr>
        <w:t>Timothy Keller (Oberlin College and Conservatory)</w:t>
      </w:r>
    </w:p>
    <w:p w14:paraId="521C03E1" w14:textId="77777777" w:rsidR="000B7D1E" w:rsidRPr="000B7D1E" w:rsidRDefault="000B7D1E" w:rsidP="000B7D1E">
      <w:pPr>
        <w:numPr>
          <w:ilvl w:val="0"/>
          <w:numId w:val="1"/>
        </w:numPr>
        <w:textAlignment w:val="baseline"/>
        <w:rPr>
          <w:rFonts w:ascii="Arial" w:eastAsia="Times New Roman" w:hAnsi="Arial" w:cs="Arial"/>
          <w:color w:val="000000"/>
          <w:sz w:val="20"/>
          <w:szCs w:val="20"/>
        </w:rPr>
      </w:pPr>
      <w:r w:rsidRPr="000B7D1E">
        <w:rPr>
          <w:rFonts w:ascii="Arial" w:eastAsia="Times New Roman" w:hAnsi="Arial" w:cs="Arial"/>
          <w:color w:val="000000"/>
          <w:sz w:val="20"/>
          <w:szCs w:val="20"/>
        </w:rPr>
        <w:t>Nicole Lewis (Brigham Young University, ALA/CORE Diversity and Inclusion Committee Liaison)</w:t>
      </w:r>
    </w:p>
    <w:p w14:paraId="17CDB4A5" w14:textId="77777777" w:rsidR="000B7D1E" w:rsidRPr="000B7D1E" w:rsidRDefault="000B7D1E" w:rsidP="000B7D1E">
      <w:pPr>
        <w:numPr>
          <w:ilvl w:val="0"/>
          <w:numId w:val="1"/>
        </w:numPr>
        <w:textAlignment w:val="baseline"/>
        <w:rPr>
          <w:rFonts w:ascii="Arial" w:eastAsia="Times New Roman" w:hAnsi="Arial" w:cs="Arial"/>
          <w:color w:val="000000"/>
          <w:sz w:val="20"/>
          <w:szCs w:val="20"/>
        </w:rPr>
      </w:pPr>
      <w:r w:rsidRPr="000B7D1E">
        <w:rPr>
          <w:rFonts w:ascii="Arial" w:eastAsia="Times New Roman" w:hAnsi="Arial" w:cs="Arial"/>
          <w:color w:val="000000"/>
          <w:sz w:val="20"/>
          <w:szCs w:val="20"/>
        </w:rPr>
        <w:t>Stephanie Luke (University of Illinois Urbana-Champaign)</w:t>
      </w:r>
    </w:p>
    <w:p w14:paraId="4997D29E" w14:textId="77777777" w:rsidR="000B7D1E" w:rsidRPr="000B7D1E" w:rsidRDefault="000B7D1E" w:rsidP="000B7D1E">
      <w:pPr>
        <w:numPr>
          <w:ilvl w:val="0"/>
          <w:numId w:val="1"/>
        </w:numPr>
        <w:textAlignment w:val="baseline"/>
        <w:rPr>
          <w:rFonts w:ascii="Arial" w:eastAsia="Times New Roman" w:hAnsi="Arial" w:cs="Arial"/>
          <w:color w:val="000000"/>
          <w:sz w:val="20"/>
          <w:szCs w:val="20"/>
        </w:rPr>
      </w:pPr>
      <w:r w:rsidRPr="000B7D1E">
        <w:rPr>
          <w:rFonts w:ascii="Arial" w:eastAsia="Times New Roman" w:hAnsi="Arial" w:cs="Arial"/>
          <w:color w:val="000000"/>
          <w:sz w:val="20"/>
          <w:szCs w:val="20"/>
        </w:rPr>
        <w:t>Hayley Moreno (OCLC)</w:t>
      </w:r>
    </w:p>
    <w:p w14:paraId="6077C579" w14:textId="77777777" w:rsidR="000B7D1E" w:rsidRPr="000B7D1E" w:rsidRDefault="000B7D1E" w:rsidP="000B7D1E">
      <w:pPr>
        <w:numPr>
          <w:ilvl w:val="0"/>
          <w:numId w:val="1"/>
        </w:numPr>
        <w:textAlignment w:val="baseline"/>
        <w:rPr>
          <w:rFonts w:ascii="Arial" w:eastAsia="Times New Roman" w:hAnsi="Arial" w:cs="Arial"/>
          <w:color w:val="000000"/>
          <w:sz w:val="20"/>
          <w:szCs w:val="20"/>
        </w:rPr>
      </w:pPr>
      <w:r w:rsidRPr="000B7D1E">
        <w:rPr>
          <w:rFonts w:ascii="Arial" w:eastAsia="Times New Roman" w:hAnsi="Arial" w:cs="Arial"/>
          <w:color w:val="000000"/>
          <w:sz w:val="20"/>
          <w:szCs w:val="20"/>
        </w:rPr>
        <w:t>Naomi Shiraishi (University of California, Berkeley)</w:t>
      </w:r>
    </w:p>
    <w:p w14:paraId="6DDF9722" w14:textId="77777777" w:rsidR="000B7D1E" w:rsidRPr="000B7D1E" w:rsidRDefault="000B7D1E" w:rsidP="000B7D1E">
      <w:pPr>
        <w:numPr>
          <w:ilvl w:val="0"/>
          <w:numId w:val="1"/>
        </w:numPr>
        <w:textAlignment w:val="baseline"/>
        <w:rPr>
          <w:rFonts w:ascii="Arial" w:eastAsia="Times New Roman" w:hAnsi="Arial" w:cs="Arial"/>
          <w:color w:val="000000"/>
          <w:sz w:val="20"/>
          <w:szCs w:val="20"/>
        </w:rPr>
      </w:pPr>
      <w:r w:rsidRPr="000B7D1E">
        <w:rPr>
          <w:rFonts w:ascii="Arial" w:eastAsia="Times New Roman" w:hAnsi="Arial" w:cs="Arial"/>
          <w:color w:val="000000"/>
          <w:sz w:val="20"/>
          <w:szCs w:val="20"/>
        </w:rPr>
        <w:t>Rhea Taylor (Hoover Institution Library &amp; Archives, Stanford University)</w:t>
      </w:r>
    </w:p>
    <w:p w14:paraId="35B5EDEF" w14:textId="77777777" w:rsidR="000B7D1E" w:rsidRPr="000B7D1E" w:rsidRDefault="000B7D1E" w:rsidP="000B7D1E">
      <w:pPr>
        <w:numPr>
          <w:ilvl w:val="0"/>
          <w:numId w:val="1"/>
        </w:numPr>
        <w:textAlignment w:val="baseline"/>
        <w:rPr>
          <w:rFonts w:ascii="Arial" w:eastAsia="Times New Roman" w:hAnsi="Arial" w:cs="Arial"/>
          <w:color w:val="000000"/>
          <w:sz w:val="20"/>
          <w:szCs w:val="20"/>
        </w:rPr>
      </w:pPr>
      <w:r w:rsidRPr="000B7D1E">
        <w:rPr>
          <w:rFonts w:ascii="Arial" w:eastAsia="Times New Roman" w:hAnsi="Arial" w:cs="Arial"/>
          <w:color w:val="000000"/>
          <w:sz w:val="20"/>
          <w:szCs w:val="20"/>
        </w:rPr>
        <w:t>Adolfo R. Tarango (University of British Columbia, Chair)</w:t>
      </w:r>
    </w:p>
    <w:p w14:paraId="1F75C9F6" w14:textId="77777777" w:rsidR="000B7D1E" w:rsidRPr="000B7D1E" w:rsidRDefault="000B7D1E" w:rsidP="000B7D1E">
      <w:pPr>
        <w:rPr>
          <w:rFonts w:ascii="Times New Roman" w:eastAsia="Times New Roman" w:hAnsi="Times New Roman" w:cs="Times New Roman"/>
          <w:sz w:val="24"/>
          <w:szCs w:val="24"/>
        </w:rPr>
      </w:pPr>
    </w:p>
    <w:p w14:paraId="04D19792" w14:textId="77777777" w:rsidR="000B7D1E" w:rsidRPr="000B7D1E" w:rsidRDefault="000B7D1E" w:rsidP="000B7D1E">
      <w:pPr>
        <w:rPr>
          <w:rFonts w:ascii="Times New Roman" w:eastAsia="Times New Roman" w:hAnsi="Times New Roman" w:cs="Times New Roman"/>
          <w:sz w:val="24"/>
          <w:szCs w:val="24"/>
        </w:rPr>
      </w:pPr>
      <w:r w:rsidRPr="000B7D1E">
        <w:rPr>
          <w:rFonts w:ascii="Arial" w:eastAsia="Times New Roman" w:hAnsi="Arial" w:cs="Arial"/>
          <w:b/>
          <w:bCs/>
          <w:color w:val="000000"/>
          <w:sz w:val="20"/>
          <w:szCs w:val="20"/>
        </w:rPr>
        <w:t>Priorities for 2025-2026</w:t>
      </w:r>
    </w:p>
    <w:p w14:paraId="77B06E2A" w14:textId="77777777" w:rsidR="000B7D1E" w:rsidRPr="000B7D1E" w:rsidRDefault="000B7D1E" w:rsidP="000B7D1E">
      <w:pPr>
        <w:rPr>
          <w:rFonts w:ascii="Times New Roman" w:eastAsia="Times New Roman" w:hAnsi="Times New Roman" w:cs="Times New Roman"/>
          <w:sz w:val="24"/>
          <w:szCs w:val="24"/>
        </w:rPr>
      </w:pPr>
    </w:p>
    <w:p w14:paraId="467F2EF4" w14:textId="77777777" w:rsidR="000B7D1E" w:rsidRPr="000B7D1E" w:rsidRDefault="000B7D1E" w:rsidP="000B7D1E">
      <w:pPr>
        <w:rPr>
          <w:rFonts w:ascii="Times New Roman" w:eastAsia="Times New Roman" w:hAnsi="Times New Roman" w:cs="Times New Roman"/>
          <w:sz w:val="24"/>
          <w:szCs w:val="24"/>
        </w:rPr>
      </w:pPr>
      <w:r w:rsidRPr="000B7D1E">
        <w:rPr>
          <w:rFonts w:ascii="Arial" w:eastAsia="Times New Roman" w:hAnsi="Arial" w:cs="Arial"/>
          <w:color w:val="000000"/>
          <w:sz w:val="20"/>
          <w:szCs w:val="20"/>
        </w:rPr>
        <w:t>EDIBA is charged with oversight of establishing principles, developing guidelines, promoting and encouraging practices, documenting, and assisting PoCo and the PCC membership in addressing issues concerning equity, diversity, inclusion, belonging, and accessibility (EDIBA) in the creation and use of metadata. The Committee will advance this role by responding to issues brought forward by PoCo and the PCC membership and/or by its own initiative in fulfillment of its charge. Specifically, the Committee will address the following items as enumerated in the</w:t>
      </w:r>
      <w:hyperlink r:id="rId5" w:history="1">
        <w:r w:rsidRPr="000B7D1E">
          <w:rPr>
            <w:rFonts w:ascii="Arial" w:eastAsia="Times New Roman" w:hAnsi="Arial" w:cs="Arial"/>
            <w:color w:val="1155CC"/>
            <w:sz w:val="20"/>
            <w:szCs w:val="20"/>
            <w:u w:val="single"/>
          </w:rPr>
          <w:t xml:space="preserve"> 2023-2027 PCC Strategic Directions</w:t>
        </w:r>
      </w:hyperlink>
      <w:r w:rsidRPr="000B7D1E">
        <w:rPr>
          <w:rFonts w:ascii="Arial" w:eastAsia="Times New Roman" w:hAnsi="Arial" w:cs="Arial"/>
          <w:color w:val="000000"/>
          <w:sz w:val="20"/>
          <w:szCs w:val="20"/>
        </w:rPr>
        <w:t xml:space="preserve"> and its charge. Given the expected workload, the Committee will work on these items as time permits, in priority order as follows:</w:t>
      </w:r>
    </w:p>
    <w:p w14:paraId="18391D7C" w14:textId="77777777" w:rsidR="000B7D1E" w:rsidRPr="000B7D1E" w:rsidRDefault="000B7D1E" w:rsidP="000B7D1E">
      <w:pPr>
        <w:rPr>
          <w:rFonts w:ascii="Times New Roman" w:eastAsia="Times New Roman" w:hAnsi="Times New Roman" w:cs="Times New Roman"/>
          <w:sz w:val="24"/>
          <w:szCs w:val="24"/>
        </w:rPr>
      </w:pPr>
      <w:r w:rsidRPr="000B7D1E">
        <w:rPr>
          <w:rFonts w:ascii="Times New Roman" w:eastAsia="Times New Roman" w:hAnsi="Times New Roman" w:cs="Times New Roman"/>
          <w:sz w:val="24"/>
          <w:szCs w:val="24"/>
        </w:rPr>
        <w:br/>
      </w:r>
      <w:r w:rsidRPr="000B7D1E">
        <w:rPr>
          <w:rFonts w:ascii="Times New Roman" w:eastAsia="Times New Roman" w:hAnsi="Times New Roman" w:cs="Times New Roman"/>
          <w:sz w:val="24"/>
          <w:szCs w:val="24"/>
        </w:rPr>
        <w:br/>
      </w:r>
    </w:p>
    <w:p w14:paraId="622CE587" w14:textId="77777777" w:rsidR="000B7D1E" w:rsidRPr="000B7D1E" w:rsidRDefault="000B7D1E" w:rsidP="000B7D1E">
      <w:pPr>
        <w:numPr>
          <w:ilvl w:val="0"/>
          <w:numId w:val="2"/>
        </w:numPr>
        <w:textAlignment w:val="baseline"/>
        <w:rPr>
          <w:rFonts w:ascii="Arial" w:eastAsia="Times New Roman" w:hAnsi="Arial" w:cs="Arial"/>
          <w:color w:val="000000"/>
          <w:sz w:val="20"/>
          <w:szCs w:val="20"/>
        </w:rPr>
      </w:pPr>
      <w:r w:rsidRPr="000B7D1E">
        <w:rPr>
          <w:rFonts w:ascii="Arial" w:eastAsia="Times New Roman" w:hAnsi="Arial" w:cs="Arial"/>
          <w:color w:val="000000"/>
          <w:sz w:val="20"/>
          <w:szCs w:val="20"/>
        </w:rPr>
        <w:t xml:space="preserve">Promote the </w:t>
      </w:r>
      <w:hyperlink r:id="rId6" w:history="1">
        <w:r w:rsidRPr="000B7D1E">
          <w:rPr>
            <w:rFonts w:ascii="Arial" w:eastAsia="Times New Roman" w:hAnsi="Arial" w:cs="Arial"/>
            <w:color w:val="1155CC"/>
            <w:sz w:val="20"/>
            <w:szCs w:val="20"/>
            <w:u w:val="single"/>
          </w:rPr>
          <w:t>PCC statement of DEI principles</w:t>
        </w:r>
      </w:hyperlink>
      <w:r w:rsidRPr="000B7D1E">
        <w:rPr>
          <w:rFonts w:ascii="Arial" w:eastAsia="Times New Roman" w:hAnsi="Arial" w:cs="Arial"/>
          <w:color w:val="000000"/>
          <w:sz w:val="20"/>
          <w:szCs w:val="20"/>
        </w:rPr>
        <w:t xml:space="preserve"> for libraries to use regarding their metadata (SD 6.2)</w:t>
      </w:r>
    </w:p>
    <w:p w14:paraId="6F6E50D2" w14:textId="77777777" w:rsidR="000B7D1E" w:rsidRPr="000B7D1E" w:rsidRDefault="000B7D1E" w:rsidP="000B7D1E">
      <w:pPr>
        <w:rPr>
          <w:rFonts w:ascii="Times New Roman" w:eastAsia="Times New Roman" w:hAnsi="Times New Roman" w:cs="Times New Roman"/>
          <w:sz w:val="24"/>
          <w:szCs w:val="24"/>
        </w:rPr>
      </w:pPr>
      <w:r w:rsidRPr="000B7D1E">
        <w:rPr>
          <w:rFonts w:ascii="Times New Roman" w:eastAsia="Times New Roman" w:hAnsi="Times New Roman" w:cs="Times New Roman"/>
          <w:sz w:val="24"/>
          <w:szCs w:val="24"/>
        </w:rPr>
        <w:br/>
      </w:r>
    </w:p>
    <w:p w14:paraId="761F6DE4" w14:textId="77777777" w:rsidR="000B7D1E" w:rsidRPr="000B7D1E" w:rsidRDefault="000B7D1E" w:rsidP="000B7D1E">
      <w:pPr>
        <w:numPr>
          <w:ilvl w:val="0"/>
          <w:numId w:val="3"/>
        </w:numPr>
        <w:textAlignment w:val="baseline"/>
        <w:rPr>
          <w:rFonts w:ascii="Arial" w:eastAsia="Times New Roman" w:hAnsi="Arial" w:cs="Arial"/>
          <w:color w:val="000000"/>
          <w:sz w:val="20"/>
          <w:szCs w:val="20"/>
        </w:rPr>
      </w:pPr>
      <w:r w:rsidRPr="000B7D1E">
        <w:rPr>
          <w:rFonts w:ascii="Arial" w:eastAsia="Times New Roman" w:hAnsi="Arial" w:cs="Arial"/>
          <w:color w:val="000000"/>
          <w:sz w:val="20"/>
          <w:szCs w:val="20"/>
        </w:rPr>
        <w:t>Increase awareness of equity, diversity, inclusion, belonging, and accessibility (EDIBA) issues as they relate to cataloging and to the PCC, with a specific focus on the issue of belonging (SD 6.1)</w:t>
      </w:r>
    </w:p>
    <w:p w14:paraId="2EC7A95B" w14:textId="77777777" w:rsidR="000B7D1E" w:rsidRPr="000B7D1E" w:rsidRDefault="000B7D1E" w:rsidP="000B7D1E">
      <w:pPr>
        <w:rPr>
          <w:rFonts w:ascii="Times New Roman" w:eastAsia="Times New Roman" w:hAnsi="Times New Roman" w:cs="Times New Roman"/>
          <w:sz w:val="24"/>
          <w:szCs w:val="24"/>
        </w:rPr>
      </w:pPr>
      <w:r w:rsidRPr="000B7D1E">
        <w:rPr>
          <w:rFonts w:ascii="Times New Roman" w:eastAsia="Times New Roman" w:hAnsi="Times New Roman" w:cs="Times New Roman"/>
          <w:sz w:val="24"/>
          <w:szCs w:val="24"/>
        </w:rPr>
        <w:br/>
      </w:r>
    </w:p>
    <w:p w14:paraId="3CB8E6B2" w14:textId="77777777" w:rsidR="000B7D1E" w:rsidRPr="000B7D1E" w:rsidRDefault="000B7D1E" w:rsidP="000B7D1E">
      <w:pPr>
        <w:numPr>
          <w:ilvl w:val="0"/>
          <w:numId w:val="4"/>
        </w:numPr>
        <w:textAlignment w:val="baseline"/>
        <w:rPr>
          <w:rFonts w:ascii="Arial" w:eastAsia="Times New Roman" w:hAnsi="Arial" w:cs="Arial"/>
          <w:color w:val="000000"/>
          <w:sz w:val="20"/>
          <w:szCs w:val="20"/>
        </w:rPr>
      </w:pPr>
      <w:r w:rsidRPr="000B7D1E">
        <w:rPr>
          <w:rFonts w:ascii="Arial" w:eastAsia="Times New Roman" w:hAnsi="Arial" w:cs="Arial"/>
          <w:color w:val="000000"/>
          <w:sz w:val="20"/>
          <w:szCs w:val="20"/>
        </w:rPr>
        <w:t>Survey PCC committees and task groups to determine current level of diversity (SD 6.3.1)</w:t>
      </w:r>
    </w:p>
    <w:p w14:paraId="1C76FDF4" w14:textId="77777777" w:rsidR="000B7D1E" w:rsidRPr="000B7D1E" w:rsidRDefault="000B7D1E" w:rsidP="000B7D1E">
      <w:pPr>
        <w:rPr>
          <w:rFonts w:ascii="Times New Roman" w:eastAsia="Times New Roman" w:hAnsi="Times New Roman" w:cs="Times New Roman"/>
          <w:sz w:val="24"/>
          <w:szCs w:val="24"/>
        </w:rPr>
      </w:pPr>
      <w:r w:rsidRPr="000B7D1E">
        <w:rPr>
          <w:rFonts w:ascii="Times New Roman" w:eastAsia="Times New Roman" w:hAnsi="Times New Roman" w:cs="Times New Roman"/>
          <w:sz w:val="24"/>
          <w:szCs w:val="24"/>
        </w:rPr>
        <w:br/>
      </w:r>
    </w:p>
    <w:p w14:paraId="1BF93177" w14:textId="77777777" w:rsidR="000B7D1E" w:rsidRPr="000B7D1E" w:rsidRDefault="000B7D1E" w:rsidP="000B7D1E">
      <w:pPr>
        <w:numPr>
          <w:ilvl w:val="0"/>
          <w:numId w:val="5"/>
        </w:numPr>
        <w:textAlignment w:val="baseline"/>
        <w:rPr>
          <w:rFonts w:ascii="Arial" w:eastAsia="Times New Roman" w:hAnsi="Arial" w:cs="Arial"/>
          <w:color w:val="000000"/>
          <w:sz w:val="20"/>
          <w:szCs w:val="20"/>
        </w:rPr>
      </w:pPr>
      <w:r w:rsidRPr="000B7D1E">
        <w:rPr>
          <w:rFonts w:ascii="Arial" w:eastAsia="Times New Roman" w:hAnsi="Arial" w:cs="Arial"/>
          <w:color w:val="000000"/>
          <w:sz w:val="20"/>
          <w:szCs w:val="20"/>
        </w:rPr>
        <w:t>Investigate and implement strategies to recruit more diverse membership (SD 6.3.2)</w:t>
      </w:r>
    </w:p>
    <w:p w14:paraId="41EB6212" w14:textId="77777777" w:rsidR="000B7D1E" w:rsidRPr="000B7D1E" w:rsidRDefault="000B7D1E" w:rsidP="000B7D1E">
      <w:pPr>
        <w:rPr>
          <w:rFonts w:ascii="Times New Roman" w:eastAsia="Times New Roman" w:hAnsi="Times New Roman" w:cs="Times New Roman"/>
          <w:sz w:val="24"/>
          <w:szCs w:val="24"/>
        </w:rPr>
      </w:pPr>
      <w:r w:rsidRPr="000B7D1E">
        <w:rPr>
          <w:rFonts w:ascii="Times New Roman" w:eastAsia="Times New Roman" w:hAnsi="Times New Roman" w:cs="Times New Roman"/>
          <w:sz w:val="24"/>
          <w:szCs w:val="24"/>
        </w:rPr>
        <w:br/>
      </w:r>
    </w:p>
    <w:p w14:paraId="7E1E1D15" w14:textId="77777777" w:rsidR="000B7D1E" w:rsidRPr="000B7D1E" w:rsidRDefault="000B7D1E" w:rsidP="000B7D1E">
      <w:pPr>
        <w:numPr>
          <w:ilvl w:val="0"/>
          <w:numId w:val="6"/>
        </w:numPr>
        <w:textAlignment w:val="baseline"/>
        <w:rPr>
          <w:rFonts w:ascii="Arial" w:eastAsia="Times New Roman" w:hAnsi="Arial" w:cs="Arial"/>
          <w:color w:val="000000"/>
          <w:sz w:val="20"/>
          <w:szCs w:val="20"/>
        </w:rPr>
      </w:pPr>
      <w:r w:rsidRPr="000B7D1E">
        <w:rPr>
          <w:rFonts w:ascii="Arial" w:eastAsia="Times New Roman" w:hAnsi="Arial" w:cs="Arial"/>
          <w:color w:val="000000"/>
          <w:sz w:val="20"/>
          <w:szCs w:val="20"/>
        </w:rPr>
        <w:t>Track the work of organizations, both within and outside the PCC, that identify and redress problematic subject headings and other vocabulary terms (SD 6.5.1)</w:t>
      </w:r>
    </w:p>
    <w:p w14:paraId="644EB8F2" w14:textId="77777777" w:rsidR="000B7D1E" w:rsidRPr="000B7D1E" w:rsidRDefault="000B7D1E" w:rsidP="000B7D1E">
      <w:pPr>
        <w:rPr>
          <w:rFonts w:ascii="Times New Roman" w:eastAsia="Times New Roman" w:hAnsi="Times New Roman" w:cs="Times New Roman"/>
          <w:sz w:val="24"/>
          <w:szCs w:val="24"/>
        </w:rPr>
      </w:pPr>
      <w:r w:rsidRPr="000B7D1E">
        <w:rPr>
          <w:rFonts w:ascii="Times New Roman" w:eastAsia="Times New Roman" w:hAnsi="Times New Roman" w:cs="Times New Roman"/>
          <w:sz w:val="24"/>
          <w:szCs w:val="24"/>
        </w:rPr>
        <w:br/>
      </w:r>
    </w:p>
    <w:p w14:paraId="3B1A01BE" w14:textId="77777777" w:rsidR="000B7D1E" w:rsidRPr="000B7D1E" w:rsidRDefault="000B7D1E" w:rsidP="000B7D1E">
      <w:pPr>
        <w:numPr>
          <w:ilvl w:val="0"/>
          <w:numId w:val="7"/>
        </w:numPr>
        <w:textAlignment w:val="baseline"/>
        <w:rPr>
          <w:rFonts w:ascii="Arial" w:eastAsia="Times New Roman" w:hAnsi="Arial" w:cs="Arial"/>
          <w:color w:val="000000"/>
          <w:sz w:val="20"/>
          <w:szCs w:val="20"/>
        </w:rPr>
      </w:pPr>
      <w:r w:rsidRPr="000B7D1E">
        <w:rPr>
          <w:rFonts w:ascii="Arial" w:eastAsia="Times New Roman" w:hAnsi="Arial" w:cs="Arial"/>
          <w:color w:val="000000"/>
          <w:sz w:val="20"/>
          <w:szCs w:val="20"/>
        </w:rPr>
        <w:lastRenderedPageBreak/>
        <w:t>Where appropriate, actively identify additional reparative description initiatives, taking care to avoid duplication of effort with other communities (SD 6.5.4)</w:t>
      </w:r>
    </w:p>
    <w:p w14:paraId="6FC1AA17" w14:textId="77777777" w:rsidR="000B7D1E" w:rsidRPr="000B7D1E" w:rsidRDefault="000B7D1E" w:rsidP="000B7D1E">
      <w:pPr>
        <w:rPr>
          <w:rFonts w:ascii="Times New Roman" w:eastAsia="Times New Roman" w:hAnsi="Times New Roman" w:cs="Times New Roman"/>
          <w:sz w:val="24"/>
          <w:szCs w:val="24"/>
        </w:rPr>
      </w:pPr>
      <w:r w:rsidRPr="000B7D1E">
        <w:rPr>
          <w:rFonts w:ascii="Times New Roman" w:eastAsia="Times New Roman" w:hAnsi="Times New Roman" w:cs="Times New Roman"/>
          <w:sz w:val="24"/>
          <w:szCs w:val="24"/>
        </w:rPr>
        <w:br/>
      </w:r>
    </w:p>
    <w:p w14:paraId="73A72CEA" w14:textId="77777777" w:rsidR="000B7D1E" w:rsidRPr="000B7D1E" w:rsidRDefault="000B7D1E" w:rsidP="000B7D1E">
      <w:pPr>
        <w:numPr>
          <w:ilvl w:val="0"/>
          <w:numId w:val="8"/>
        </w:numPr>
        <w:textAlignment w:val="baseline"/>
        <w:rPr>
          <w:rFonts w:ascii="Arial" w:eastAsia="Times New Roman" w:hAnsi="Arial" w:cs="Arial"/>
          <w:color w:val="000000"/>
          <w:sz w:val="20"/>
          <w:szCs w:val="20"/>
        </w:rPr>
      </w:pPr>
      <w:r w:rsidRPr="000B7D1E">
        <w:rPr>
          <w:rFonts w:ascii="Arial" w:eastAsia="Times New Roman" w:hAnsi="Arial" w:cs="Arial"/>
          <w:color w:val="000000"/>
          <w:sz w:val="20"/>
          <w:szCs w:val="20"/>
        </w:rPr>
        <w:t>Create a repository of information about EDIBA work related to ethics in cataloging/metadata (e.g., articles, white papers, websites, project wikis, etc.) (SD 6.5.2)</w:t>
      </w:r>
    </w:p>
    <w:p w14:paraId="537C9E33" w14:textId="77777777" w:rsidR="0036243C" w:rsidRDefault="0036243C"/>
    <w:sectPr w:rsidR="0036243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22EBA"/>
    <w:multiLevelType w:val="multilevel"/>
    <w:tmpl w:val="8EA0F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0E61A1"/>
    <w:multiLevelType w:val="multilevel"/>
    <w:tmpl w:val="6396CFF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1A51787"/>
    <w:multiLevelType w:val="multilevel"/>
    <w:tmpl w:val="794499A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7E56695"/>
    <w:multiLevelType w:val="multilevel"/>
    <w:tmpl w:val="4B345D6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C441525"/>
    <w:multiLevelType w:val="multilevel"/>
    <w:tmpl w:val="E698EB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D0E3DFB"/>
    <w:multiLevelType w:val="multilevel"/>
    <w:tmpl w:val="280E22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F461FCE"/>
    <w:multiLevelType w:val="multilevel"/>
    <w:tmpl w:val="B0B226E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C8F694F"/>
    <w:multiLevelType w:val="multilevel"/>
    <w:tmpl w:val="94CE1EF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5"/>
  </w:num>
  <w:num w:numId="3">
    <w:abstractNumId w:val="4"/>
    <w:lvlOverride w:ilvl="0">
      <w:lvl w:ilvl="0">
        <w:numFmt w:val="decimal"/>
        <w:lvlText w:val="%1."/>
        <w:lvlJc w:val="left"/>
      </w:lvl>
    </w:lvlOverride>
  </w:num>
  <w:num w:numId="4">
    <w:abstractNumId w:val="6"/>
    <w:lvlOverride w:ilvl="0">
      <w:lvl w:ilvl="0">
        <w:numFmt w:val="decimal"/>
        <w:lvlText w:val="%1."/>
        <w:lvlJc w:val="left"/>
      </w:lvl>
    </w:lvlOverride>
  </w:num>
  <w:num w:numId="5">
    <w:abstractNumId w:val="3"/>
    <w:lvlOverride w:ilvl="0">
      <w:lvl w:ilvl="0">
        <w:numFmt w:val="decimal"/>
        <w:lvlText w:val="%1."/>
        <w:lvlJc w:val="left"/>
      </w:lvl>
    </w:lvlOverride>
  </w:num>
  <w:num w:numId="6">
    <w:abstractNumId w:val="7"/>
    <w:lvlOverride w:ilvl="0">
      <w:lvl w:ilvl="0">
        <w:numFmt w:val="decimal"/>
        <w:lvlText w:val="%1."/>
        <w:lvlJc w:val="left"/>
      </w:lvl>
    </w:lvlOverride>
  </w:num>
  <w:num w:numId="7">
    <w:abstractNumId w:val="1"/>
    <w:lvlOverride w:ilvl="0">
      <w:lvl w:ilvl="0">
        <w:numFmt w:val="decimal"/>
        <w:lvlText w:val="%1."/>
        <w:lvlJc w:val="left"/>
      </w:lvl>
    </w:lvlOverride>
  </w:num>
  <w:num w:numId="8">
    <w:abstractNumId w:val="2"/>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7D1E"/>
    <w:rsid w:val="000B7D1E"/>
    <w:rsid w:val="001A3F4F"/>
    <w:rsid w:val="0036243C"/>
    <w:rsid w:val="004E23CA"/>
    <w:rsid w:val="00551E1B"/>
    <w:rsid w:val="00A40FDB"/>
    <w:rsid w:val="00D15BDD"/>
    <w:rsid w:val="00EC4BA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7F5327"/>
  <w15:chartTrackingRefBased/>
  <w15:docId w15:val="{C9410E87-6B8B-4B53-88D2-B9C465028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B7D1E"/>
    <w:pPr>
      <w:spacing w:before="100" w:beforeAutospacing="1" w:after="100" w:afterAutospacing="1"/>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0B7D1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8088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loc.gov/aba/pcc/resources/DEI-guiding-principles-for-metadata-creation.pdf" TargetMode="External"/><Relationship Id="rId5" Type="http://schemas.openxmlformats.org/officeDocument/2006/relationships/hyperlink" Target="https://www.loc.gov/aba/pcc/about/PCC-Strategic-Directions-2023-2027.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380</Words>
  <Characters>2169</Characters>
  <Application>Microsoft Office Word</Application>
  <DocSecurity>0</DocSecurity>
  <Lines>18</Lines>
  <Paragraphs>5</Paragraphs>
  <ScaleCrop>false</ScaleCrop>
  <Company>The Univeristy of British Columbia</Company>
  <LinksUpToDate>false</LinksUpToDate>
  <CharactersWithSpaces>2544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Tarango, Adolfo</dc:creator>
  <cp:keywords/>
  <dc:description/>
  <cp:lastModifiedBy>Tarango, Adolfo</cp:lastModifiedBy>
  <cp:revision>1</cp:revision>
  <dcterms:created xsi:type="dcterms:W3CDTF">2025-05-16T16:29:00Z</dcterms:created>
  <dcterms:modified xsi:type="dcterms:W3CDTF">2025-05-16T16:30:00Z</dcterms:modified>
</cp:coreProperties>
</file>